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E179F">
      <w:pPr>
        <w:spacing w:line="360" w:lineRule="auto"/>
        <w:jc w:val="center"/>
        <w:rPr>
          <w:rFonts w:ascii="Times New Roman" w:hAnsi="Times New Roman" w:cs="Times New Roman" w:eastAsiaTheme="majorEastAsia"/>
          <w:b/>
          <w:bCs/>
          <w:color w:val="000000" w:themeColor="text1"/>
          <w:sz w:val="44"/>
          <w:szCs w:val="44"/>
          <w14:textFill>
            <w14:solidFill>
              <w14:schemeClr w14:val="tx1"/>
            </w14:solidFill>
          </w14:textFill>
        </w:rPr>
      </w:pPr>
      <w:r>
        <w:rPr>
          <w:rFonts w:ascii="Times New Roman" w:hAnsi="Times New Roman" w:cs="Times New Roman" w:eastAsiaTheme="majorEastAsia"/>
          <w:b/>
          <w:bCs/>
          <w:color w:val="000000" w:themeColor="text1"/>
          <w:sz w:val="32"/>
          <w:szCs w:val="32"/>
          <w:u w:val="single"/>
          <w14:textFill>
            <w14:solidFill>
              <w14:schemeClr w14:val="tx1"/>
            </w14:solidFill>
          </w14:textFill>
        </w:rPr>
        <w:t xml:space="preserve">          </w:t>
      </w:r>
      <w:r>
        <w:rPr>
          <w:rFonts w:ascii="Times New Roman" w:hAnsi="Times New Roman" w:cs="Times New Roman" w:eastAsiaTheme="majorEastAsia"/>
          <w:b/>
          <w:bCs/>
          <w:color w:val="000000" w:themeColor="text1"/>
          <w:sz w:val="44"/>
          <w:szCs w:val="44"/>
          <w14:textFill>
            <w14:solidFill>
              <w14:schemeClr w14:val="tx1"/>
            </w14:solidFill>
          </w14:textFill>
        </w:rPr>
        <w:t>选择承接培训机构评审参考表</w:t>
      </w:r>
    </w:p>
    <w:p w14:paraId="418EB161">
      <w:pPr>
        <w:spacing w:line="360" w:lineRule="auto"/>
        <w:jc w:val="both"/>
        <w:rPr>
          <w:rFonts w:ascii="Times New Roman" w:hAnsi="Times New Roman" w:cs="Times New Roman" w:eastAsiaTheme="majorEastAsia"/>
          <w:b/>
          <w:bCs/>
          <w:color w:val="000000" w:themeColor="text1"/>
          <w:sz w:val="32"/>
          <w:szCs w:val="32"/>
          <w14:textFill>
            <w14:solidFill>
              <w14:schemeClr w14:val="tx1"/>
            </w14:solidFill>
          </w14:textFill>
        </w:rPr>
      </w:pPr>
    </w:p>
    <w:p w14:paraId="7C72C871">
      <w:pPr>
        <w:spacing w:line="360" w:lineRule="auto"/>
        <w:jc w:val="both"/>
        <w:rPr>
          <w:rFonts w:ascii="Times New Roman" w:hAnsi="Times New Roman" w:cs="Times New Roman" w:eastAsiaTheme="majorEastAsia"/>
          <w:b/>
          <w:bCs/>
          <w:color w:val="000000" w:themeColor="text1"/>
          <w:sz w:val="32"/>
          <w:szCs w:val="32"/>
          <w:u w:val="single"/>
          <w14:textFill>
            <w14:solidFill>
              <w14:schemeClr w14:val="tx1"/>
            </w14:solidFill>
          </w14:textFill>
        </w:rPr>
      </w:pPr>
      <w:r>
        <w:rPr>
          <w:rFonts w:ascii="Times New Roman" w:hAnsi="Times New Roman" w:cs="Times New Roman" w:eastAsiaTheme="majorEastAsia"/>
          <w:b/>
          <w:bCs/>
          <w:color w:val="000000" w:themeColor="text1"/>
          <w:sz w:val="32"/>
          <w:szCs w:val="32"/>
          <w14:textFill>
            <w14:solidFill>
              <w14:schemeClr w14:val="tx1"/>
            </w14:solidFill>
          </w14:textFill>
        </w:rPr>
        <w:t>机构名称：</w:t>
      </w:r>
      <w:r>
        <w:rPr>
          <w:rFonts w:ascii="Times New Roman" w:hAnsi="Times New Roman" w:cs="Times New Roman" w:eastAsiaTheme="majorEastAsia"/>
          <w:b/>
          <w:bCs/>
          <w:color w:val="000000" w:themeColor="text1"/>
          <w:sz w:val="32"/>
          <w:szCs w:val="32"/>
          <w:u w:val="single"/>
          <w14:textFill>
            <w14:solidFill>
              <w14:schemeClr w14:val="tx1"/>
            </w14:solidFill>
          </w14:textFill>
        </w:rPr>
        <w:t xml:space="preserve">                            </w:t>
      </w:r>
    </w:p>
    <w:tbl>
      <w:tblPr>
        <w:tblStyle w:val="6"/>
        <w:tblpPr w:leftFromText="180" w:rightFromText="180" w:vertAnchor="text" w:horzAnchor="page" w:tblpX="1513" w:tblpY="862"/>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63"/>
        <w:gridCol w:w="8221"/>
        <w:gridCol w:w="2410"/>
        <w:gridCol w:w="1276"/>
      </w:tblGrid>
      <w:tr w14:paraId="4CF9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0" w:type="dxa"/>
            <w:shd w:val="clear" w:color="auto" w:fill="auto"/>
            <w:vAlign w:val="center"/>
          </w:tcPr>
          <w:p w14:paraId="5A808B90">
            <w:pPr>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序号</w:t>
            </w:r>
          </w:p>
        </w:tc>
        <w:tc>
          <w:tcPr>
            <w:tcW w:w="1363" w:type="dxa"/>
            <w:shd w:val="clear" w:color="auto" w:fill="auto"/>
            <w:vAlign w:val="center"/>
          </w:tcPr>
          <w:p w14:paraId="1076FE8A">
            <w:pPr>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评审内容</w:t>
            </w:r>
          </w:p>
        </w:tc>
        <w:tc>
          <w:tcPr>
            <w:tcW w:w="8221" w:type="dxa"/>
            <w:shd w:val="clear" w:color="auto" w:fill="auto"/>
            <w:vAlign w:val="center"/>
          </w:tcPr>
          <w:p w14:paraId="400FA4D6">
            <w:pPr>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评审参考标准</w:t>
            </w:r>
          </w:p>
        </w:tc>
        <w:tc>
          <w:tcPr>
            <w:tcW w:w="2410" w:type="dxa"/>
            <w:shd w:val="clear" w:color="auto" w:fill="auto"/>
            <w:vAlign w:val="center"/>
          </w:tcPr>
          <w:p w14:paraId="33338221">
            <w:pPr>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评审方式</w:t>
            </w:r>
          </w:p>
        </w:tc>
        <w:tc>
          <w:tcPr>
            <w:tcW w:w="1276" w:type="dxa"/>
            <w:shd w:val="clear" w:color="auto" w:fill="auto"/>
            <w:vAlign w:val="center"/>
          </w:tcPr>
          <w:p w14:paraId="5A140467">
            <w:pPr>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得分</w:t>
            </w:r>
          </w:p>
        </w:tc>
      </w:tr>
      <w:tr w14:paraId="5D5C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0" w:type="dxa"/>
            <w:shd w:val="clear" w:color="auto" w:fill="auto"/>
            <w:vAlign w:val="center"/>
          </w:tcPr>
          <w:p w14:paraId="25CCC868">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一</w:t>
            </w:r>
          </w:p>
        </w:tc>
        <w:tc>
          <w:tcPr>
            <w:tcW w:w="1363" w:type="dxa"/>
            <w:shd w:val="clear" w:color="auto" w:fill="auto"/>
            <w:vAlign w:val="center"/>
          </w:tcPr>
          <w:p w14:paraId="3C3104E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培训机构资质（10分）</w:t>
            </w:r>
          </w:p>
        </w:tc>
        <w:tc>
          <w:tcPr>
            <w:tcW w:w="8221" w:type="dxa"/>
            <w:shd w:val="clear" w:color="auto" w:fill="auto"/>
            <w:vAlign w:val="center"/>
          </w:tcPr>
          <w:p w14:paraId="3F9560C4">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1.培训机构资质证明文件、办学资质齐全，注册地与实际办公地一致的，得10分；</w:t>
            </w:r>
          </w:p>
          <w:p w14:paraId="60AE130C">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2.资质证明文件、办学资质不齐全或注册地与实际办公地不一致的，酌情扣分或不得分。</w:t>
            </w:r>
          </w:p>
        </w:tc>
        <w:tc>
          <w:tcPr>
            <w:tcW w:w="2410" w:type="dxa"/>
            <w:shd w:val="clear" w:color="auto" w:fill="auto"/>
            <w:vAlign w:val="center"/>
          </w:tcPr>
          <w:p w14:paraId="111D970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查看培训机构资质证明文件、许可证，产权证或租赁合同。</w:t>
            </w:r>
          </w:p>
        </w:tc>
        <w:tc>
          <w:tcPr>
            <w:tcW w:w="1276" w:type="dxa"/>
            <w:shd w:val="clear" w:color="auto" w:fill="auto"/>
          </w:tcPr>
          <w:p w14:paraId="37373E42">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4958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730" w:type="dxa"/>
            <w:shd w:val="clear" w:color="auto" w:fill="auto"/>
            <w:vAlign w:val="center"/>
          </w:tcPr>
          <w:p w14:paraId="3726E029">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二</w:t>
            </w:r>
          </w:p>
        </w:tc>
        <w:tc>
          <w:tcPr>
            <w:tcW w:w="1363" w:type="dxa"/>
            <w:shd w:val="clear" w:color="auto" w:fill="auto"/>
            <w:vAlign w:val="center"/>
          </w:tcPr>
          <w:p w14:paraId="69724FAC">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办公用房、理论教室实训场地面积（10分）</w:t>
            </w:r>
          </w:p>
        </w:tc>
        <w:tc>
          <w:tcPr>
            <w:tcW w:w="8221" w:type="dxa"/>
            <w:shd w:val="clear" w:color="auto" w:fill="auto"/>
            <w:vAlign w:val="center"/>
          </w:tcPr>
          <w:p w14:paraId="61675DF6">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1.自有办公用房、教室及实训场地等达到300平方米以上、符合环保、安全、消防、卫生等有关规定，并出示产权证的得10分，不能出具有效证明的酌情扣分；</w:t>
            </w:r>
          </w:p>
          <w:p w14:paraId="558C967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2.自有和租赁办公用房、教室及实训场地等合计达到300平方米以上、符合环保、安全、消防、卫生等有关规定、并出示产权证和租赁合同的得8分，不能出具有效证明的酌情扣分；</w:t>
            </w:r>
          </w:p>
          <w:p w14:paraId="0D74FC8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3.自有和租赁办公用房、教室及实训场地等300平方米以下，不得分。</w:t>
            </w:r>
          </w:p>
        </w:tc>
        <w:tc>
          <w:tcPr>
            <w:tcW w:w="2410" w:type="dxa"/>
            <w:shd w:val="clear" w:color="auto" w:fill="auto"/>
            <w:vAlign w:val="center"/>
          </w:tcPr>
          <w:p w14:paraId="5C08310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查阅培训机构提供的产权证或租赁合同（协议）及安全、消防、卫生等相关证照复印件。</w:t>
            </w:r>
          </w:p>
        </w:tc>
        <w:tc>
          <w:tcPr>
            <w:tcW w:w="1276" w:type="dxa"/>
            <w:shd w:val="clear" w:color="auto" w:fill="auto"/>
            <w:vAlign w:val="center"/>
          </w:tcPr>
          <w:p w14:paraId="414D30DB">
            <w:pPr>
              <w:spacing w:after="156" w:afterLines="50"/>
              <w:rPr>
                <w:rFonts w:ascii="Times New Roman" w:hAnsi="Times New Roman" w:eastAsia="宋体" w:cs="Times New Roman"/>
                <w:color w:val="000000" w:themeColor="text1"/>
                <w:szCs w:val="21"/>
                <w14:textFill>
                  <w14:solidFill>
                    <w14:schemeClr w14:val="tx1"/>
                  </w14:solidFill>
                </w14:textFill>
              </w:rPr>
            </w:pPr>
          </w:p>
        </w:tc>
      </w:tr>
      <w:tr w14:paraId="4E00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730" w:type="dxa"/>
            <w:shd w:val="clear" w:color="auto" w:fill="auto"/>
            <w:vAlign w:val="center"/>
          </w:tcPr>
          <w:p w14:paraId="563F3148">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三</w:t>
            </w:r>
          </w:p>
        </w:tc>
        <w:tc>
          <w:tcPr>
            <w:tcW w:w="1363" w:type="dxa"/>
            <w:shd w:val="clear" w:color="auto" w:fill="auto"/>
            <w:vAlign w:val="center"/>
          </w:tcPr>
          <w:p w14:paraId="51528B4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管理制度（5分）</w:t>
            </w:r>
          </w:p>
        </w:tc>
        <w:tc>
          <w:tcPr>
            <w:tcW w:w="8221" w:type="dxa"/>
            <w:shd w:val="clear" w:color="auto" w:fill="auto"/>
            <w:vAlign w:val="center"/>
          </w:tcPr>
          <w:p w14:paraId="66B6AAEA">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培训学校有健全、规范的管理制度，能提供培训机构章程、教师管理及聘任制度、财务管理制度、学籍管理制度、学员考核鉴定制度、安全管理制度、档案管理制度、学员考勤管理制度、就业跟踪管理制度、收费公示制度等。以上10项制度每提供1项得0.5分，满分5分。</w:t>
            </w:r>
          </w:p>
        </w:tc>
        <w:tc>
          <w:tcPr>
            <w:tcW w:w="2410" w:type="dxa"/>
            <w:shd w:val="clear" w:color="auto" w:fill="auto"/>
            <w:vAlign w:val="center"/>
          </w:tcPr>
          <w:p w14:paraId="08C7B7B7">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查阅培训机构提交的管理制度及制度上墙照片</w:t>
            </w:r>
          </w:p>
        </w:tc>
        <w:tc>
          <w:tcPr>
            <w:tcW w:w="1276" w:type="dxa"/>
            <w:shd w:val="clear" w:color="auto" w:fill="auto"/>
          </w:tcPr>
          <w:p w14:paraId="70DF9FC0">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4B61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30" w:type="dxa"/>
            <w:shd w:val="clear" w:color="auto" w:fill="auto"/>
            <w:vAlign w:val="center"/>
          </w:tcPr>
          <w:p w14:paraId="02319165">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四</w:t>
            </w:r>
          </w:p>
        </w:tc>
        <w:tc>
          <w:tcPr>
            <w:tcW w:w="1363" w:type="dxa"/>
            <w:shd w:val="clear" w:color="auto" w:fill="auto"/>
            <w:vAlign w:val="center"/>
          </w:tcPr>
          <w:p w14:paraId="42A3771B">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培训工种（10分）</w:t>
            </w:r>
          </w:p>
        </w:tc>
        <w:tc>
          <w:tcPr>
            <w:tcW w:w="8221" w:type="dxa"/>
            <w:shd w:val="clear" w:color="auto" w:fill="auto"/>
            <w:vAlign w:val="center"/>
          </w:tcPr>
          <w:p w14:paraId="141D0F1F">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1.培训机构具有主管部门审批的10（含）个以上工种，得10分；</w:t>
            </w:r>
          </w:p>
          <w:p w14:paraId="39D9C73E">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2.培训机构具有主管部门审批的5-9个工种，得7分；</w:t>
            </w:r>
          </w:p>
          <w:p w14:paraId="72BD6B17">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3.培训机构具有主管部门审批的5（不含）个以下工种，得5分。</w:t>
            </w:r>
          </w:p>
          <w:p w14:paraId="67C23BD4">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（注：不具有创业培训资质的机构不得参与有创业培训和网络创业培训的投标）</w:t>
            </w:r>
          </w:p>
        </w:tc>
        <w:tc>
          <w:tcPr>
            <w:tcW w:w="2410" w:type="dxa"/>
            <w:shd w:val="clear" w:color="auto" w:fill="auto"/>
            <w:vAlign w:val="center"/>
          </w:tcPr>
          <w:p w14:paraId="217E1234">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查阅主管部门资质审批文件及相关证明文件</w:t>
            </w:r>
          </w:p>
        </w:tc>
        <w:tc>
          <w:tcPr>
            <w:tcW w:w="1276" w:type="dxa"/>
            <w:shd w:val="clear" w:color="auto" w:fill="auto"/>
          </w:tcPr>
          <w:p w14:paraId="7C8D14BA">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227E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30" w:type="dxa"/>
            <w:shd w:val="clear" w:color="auto" w:fill="auto"/>
            <w:vAlign w:val="center"/>
          </w:tcPr>
          <w:p w14:paraId="6741C4B6">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五</w:t>
            </w:r>
          </w:p>
        </w:tc>
        <w:tc>
          <w:tcPr>
            <w:tcW w:w="1363" w:type="dxa"/>
            <w:shd w:val="clear" w:color="auto" w:fill="auto"/>
            <w:vAlign w:val="center"/>
          </w:tcPr>
          <w:p w14:paraId="612466C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专职教学管理人员数量（10分）</w:t>
            </w:r>
          </w:p>
        </w:tc>
        <w:tc>
          <w:tcPr>
            <w:tcW w:w="8221" w:type="dxa"/>
            <w:shd w:val="clear" w:color="auto" w:fill="auto"/>
            <w:vAlign w:val="center"/>
          </w:tcPr>
          <w:p w14:paraId="4C872F37">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1.配备专职教师或教学管理人员5（含）人以上的，得10分；</w:t>
            </w:r>
          </w:p>
          <w:p w14:paraId="792B2BCA">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2.配备专职教师或教学管理人员3-4人，得8分的；</w:t>
            </w:r>
          </w:p>
          <w:p w14:paraId="083BEA49">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3.配备专职教师或教学管理人员2人及以下的，得6分。</w:t>
            </w:r>
          </w:p>
        </w:tc>
        <w:tc>
          <w:tcPr>
            <w:tcW w:w="2410" w:type="dxa"/>
            <w:shd w:val="clear" w:color="auto" w:fill="auto"/>
            <w:vAlign w:val="center"/>
          </w:tcPr>
          <w:p w14:paraId="7D979668">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查看以上人员参保证明</w:t>
            </w:r>
          </w:p>
        </w:tc>
        <w:tc>
          <w:tcPr>
            <w:tcW w:w="1276" w:type="dxa"/>
            <w:shd w:val="clear" w:color="auto" w:fill="auto"/>
          </w:tcPr>
          <w:p w14:paraId="3B721435">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1F6B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730" w:type="dxa"/>
            <w:shd w:val="clear" w:color="auto" w:fill="auto"/>
            <w:vAlign w:val="center"/>
          </w:tcPr>
          <w:p w14:paraId="5B044725">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六</w:t>
            </w:r>
          </w:p>
        </w:tc>
        <w:tc>
          <w:tcPr>
            <w:tcW w:w="1363" w:type="dxa"/>
            <w:shd w:val="clear" w:color="auto" w:fill="auto"/>
            <w:vAlign w:val="center"/>
          </w:tcPr>
          <w:p w14:paraId="4E2A43E9">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技能培训、创业培训经历（10分）</w:t>
            </w:r>
          </w:p>
        </w:tc>
        <w:tc>
          <w:tcPr>
            <w:tcW w:w="8221" w:type="dxa"/>
            <w:shd w:val="clear" w:color="auto" w:fill="auto"/>
            <w:vAlign w:val="center"/>
          </w:tcPr>
          <w:p w14:paraId="467C29F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熟悉高校毕业生职业技能培训工作，202</w:t>
            </w:r>
            <w:r>
              <w:rPr>
                <w:rFonts w:hint="eastAsia" w:ascii="Times New Roman" w:hAnsi="Times New Roman" w:cs="Times New Roman"/>
                <w:color w:val="000000" w:themeColor="text1"/>
                <w:szCs w:val="21"/>
                <w:lang w:val="en-US" w:eastAsia="zh-CN"/>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年以来承担各级人力资源和社会保障部门职业技能培训、创业培训、求职能力培训，鉴定合格率在</w:t>
            </w:r>
            <w:r>
              <w:rPr>
                <w:rFonts w:hint="eastAsia" w:ascii="Times New Roman" w:hAnsi="Times New Roman" w:cs="Times New Roman"/>
                <w:color w:val="000000" w:themeColor="text1"/>
                <w:szCs w:val="21"/>
                <w:lang w:val="en-US" w:eastAsia="zh-CN"/>
                <w14:textFill>
                  <w14:solidFill>
                    <w14:schemeClr w14:val="tx1"/>
                  </w14:solidFill>
                </w14:textFill>
              </w:rPr>
              <w:t>80</w:t>
            </w:r>
            <w:r>
              <w:rPr>
                <w:rFonts w:ascii="Times New Roman" w:hAnsi="Times New Roman" w:cs="Times New Roman"/>
                <w:color w:val="000000" w:themeColor="text1"/>
                <w:szCs w:val="21"/>
                <w14:textFill>
                  <w14:solidFill>
                    <w14:schemeClr w14:val="tx1"/>
                  </w14:solidFill>
                </w14:textFill>
              </w:rPr>
              <w:t>%以上。</w:t>
            </w:r>
          </w:p>
          <w:p w14:paraId="3B81227C">
            <w:pP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1.累计培训合格总人数在501人以上，得10分；</w:t>
            </w:r>
          </w:p>
          <w:p w14:paraId="7464C9EF">
            <w:pP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2.累计培训合格总人数在201-500人，得</w:t>
            </w:r>
            <w:r>
              <w:rPr>
                <w:rFonts w:hint="eastAsia" w:ascii="Times New Roman" w:hAnsi="Times New Roman" w:cs="Times New Roman"/>
                <w:color w:val="000000" w:themeColor="text1"/>
                <w:szCs w:val="21"/>
                <w:lang w:val="en-US" w:eastAsia="zh-CN"/>
                <w14:textFill>
                  <w14:solidFill>
                    <w14:schemeClr w14:val="tx1"/>
                  </w14:solidFill>
                </w14:textFill>
              </w:rPr>
              <w:t>7</w:t>
            </w:r>
            <w:r>
              <w:rPr>
                <w:rFonts w:hint="eastAsia" w:ascii="Times New Roman" w:hAnsi="Times New Roman" w:cs="Times New Roman"/>
                <w:color w:val="000000" w:themeColor="text1"/>
                <w:szCs w:val="21"/>
                <w14:textFill>
                  <w14:solidFill>
                    <w14:schemeClr w14:val="tx1"/>
                  </w14:solidFill>
                </w14:textFill>
              </w:rPr>
              <w:t>分；</w:t>
            </w:r>
          </w:p>
          <w:p w14:paraId="593E0F80">
            <w:pP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3.累计培训合格总人数在101-200人，得</w:t>
            </w:r>
            <w:r>
              <w:rPr>
                <w:rFonts w:hint="eastAsia" w:ascii="Times New Roman" w:hAnsi="Times New Roman" w:cs="Times New Roman"/>
                <w:color w:val="000000" w:themeColor="text1"/>
                <w:szCs w:val="21"/>
                <w:lang w:val="en-US" w:eastAsia="zh-CN"/>
                <w14:textFill>
                  <w14:solidFill>
                    <w14:schemeClr w14:val="tx1"/>
                  </w14:solidFill>
                </w14:textFill>
              </w:rPr>
              <w:t>4</w:t>
            </w:r>
            <w:r>
              <w:rPr>
                <w:rFonts w:hint="eastAsia" w:ascii="Times New Roman" w:hAnsi="Times New Roman" w:cs="Times New Roman"/>
                <w:color w:val="000000" w:themeColor="text1"/>
                <w:szCs w:val="21"/>
                <w14:textFill>
                  <w14:solidFill>
                    <w14:schemeClr w14:val="tx1"/>
                  </w14:solidFill>
                </w14:textFill>
              </w:rPr>
              <w:t>分；</w:t>
            </w:r>
          </w:p>
          <w:p w14:paraId="0E7567EB">
            <w:pPr>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4.低于100人或鉴定合格率低于</w:t>
            </w:r>
            <w:r>
              <w:rPr>
                <w:rFonts w:hint="eastAsia" w:ascii="Times New Roman" w:hAnsi="Times New Roman" w:cs="Times New Roman"/>
                <w:color w:val="000000" w:themeColor="text1"/>
                <w:szCs w:val="21"/>
                <w:lang w:val="en-US" w:eastAsia="zh-CN"/>
                <w14:textFill>
                  <w14:solidFill>
                    <w14:schemeClr w14:val="tx1"/>
                  </w14:solidFill>
                </w14:textFill>
              </w:rPr>
              <w:t>80</w:t>
            </w:r>
            <w:r>
              <w:rPr>
                <w:rFonts w:hint="eastAsia" w:ascii="Times New Roman" w:hAnsi="Times New Roman" w:cs="Times New Roman"/>
                <w:color w:val="000000" w:themeColor="text1"/>
                <w:szCs w:val="21"/>
                <w14:textFill>
                  <w14:solidFill>
                    <w14:schemeClr w14:val="tx1"/>
                  </w14:solidFill>
                </w14:textFill>
              </w:rPr>
              <w:t>%的，得1-</w:t>
            </w:r>
            <w:r>
              <w:rPr>
                <w:rFonts w:hint="eastAsia" w:ascii="Times New Roman" w:hAnsi="Times New Roman" w:cs="Times New Roman"/>
                <w:color w:val="000000" w:themeColor="text1"/>
                <w:szCs w:val="21"/>
                <w:lang w:val="en-US" w:eastAsia="zh-CN"/>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分。</w:t>
            </w:r>
          </w:p>
          <w:p w14:paraId="7F8BCCEA">
            <w:pPr>
              <w:rPr>
                <w:rFonts w:ascii="Times New Roman" w:hAnsi="Times New Roman" w:cs="Times New Roman"/>
                <w:color w:val="000000" w:themeColor="text1"/>
                <w:szCs w:val="21"/>
                <w14:textFill>
                  <w14:solidFill>
                    <w14:schemeClr w14:val="tx1"/>
                  </w14:solidFill>
                </w14:textFill>
              </w:rPr>
            </w:pPr>
          </w:p>
        </w:tc>
        <w:tc>
          <w:tcPr>
            <w:tcW w:w="2410" w:type="dxa"/>
            <w:shd w:val="clear" w:color="auto" w:fill="auto"/>
            <w:vAlign w:val="center"/>
          </w:tcPr>
          <w:p w14:paraId="01D0E7C0">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查阅由各县（市、区）就业部门盖章认可的技能培训证明材料（内容含培训时间、地点、工种、人数、就业重点群体人员类别、技能鉴定合格人数等）</w:t>
            </w:r>
          </w:p>
        </w:tc>
        <w:tc>
          <w:tcPr>
            <w:tcW w:w="1276" w:type="dxa"/>
            <w:shd w:val="clear" w:color="auto" w:fill="auto"/>
          </w:tcPr>
          <w:p w14:paraId="4657552A">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133C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730" w:type="dxa"/>
            <w:shd w:val="clear" w:color="auto" w:fill="auto"/>
            <w:vAlign w:val="center"/>
          </w:tcPr>
          <w:p w14:paraId="696E0364">
            <w:pPr>
              <w:spacing w:after="156" w:afterLines="5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七</w:t>
            </w:r>
          </w:p>
        </w:tc>
        <w:tc>
          <w:tcPr>
            <w:tcW w:w="1363" w:type="dxa"/>
            <w:shd w:val="clear" w:color="auto" w:fill="auto"/>
            <w:vAlign w:val="center"/>
          </w:tcPr>
          <w:p w14:paraId="3C850046">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教学实训主要设备数量（10分）</w:t>
            </w:r>
          </w:p>
        </w:tc>
        <w:tc>
          <w:tcPr>
            <w:tcW w:w="8221" w:type="dxa"/>
            <w:shd w:val="clear" w:color="auto" w:fill="auto"/>
            <w:vAlign w:val="center"/>
          </w:tcPr>
          <w:p w14:paraId="55685B50">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具备高校拟培训工种职业技能等级允许专业（工种）培训教学所需的教学和实操设备，每个工种实训设备。</w:t>
            </w:r>
          </w:p>
          <w:p w14:paraId="1F83FCC2">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1.达到25套（含）以上，得10分；</w:t>
            </w:r>
          </w:p>
          <w:p w14:paraId="25845926">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2.达到10-24（含）套，得7分；</w:t>
            </w:r>
          </w:p>
          <w:p w14:paraId="615CC2E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3.达到5-9（含）套，得5分；</w:t>
            </w:r>
          </w:p>
          <w:p w14:paraId="3EADBEF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4.低于5套(不含)不得分。</w:t>
            </w:r>
          </w:p>
        </w:tc>
        <w:tc>
          <w:tcPr>
            <w:tcW w:w="2410" w:type="dxa"/>
            <w:shd w:val="clear" w:color="auto" w:fill="auto"/>
            <w:vAlign w:val="center"/>
          </w:tcPr>
          <w:p w14:paraId="2A8388D5">
            <w:pP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查阅培训机构提交培训工种主要设备清单、实物照片及购置设施设备的发票、固定资产年报。设备学员与教具配比不低于 5:1，大型设备（如起重装卸机械）配比不低于 20:1的标准进行评审</w:t>
            </w:r>
          </w:p>
        </w:tc>
        <w:tc>
          <w:tcPr>
            <w:tcW w:w="1276" w:type="dxa"/>
            <w:shd w:val="clear" w:color="auto" w:fill="auto"/>
          </w:tcPr>
          <w:p w14:paraId="13252654">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4EDF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730" w:type="dxa"/>
            <w:shd w:val="clear" w:color="auto" w:fill="auto"/>
            <w:vAlign w:val="center"/>
          </w:tcPr>
          <w:p w14:paraId="03E157E8">
            <w:pPr>
              <w:spacing w:after="156" w:afterLines="5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八</w:t>
            </w:r>
          </w:p>
        </w:tc>
        <w:tc>
          <w:tcPr>
            <w:tcW w:w="1363" w:type="dxa"/>
            <w:shd w:val="clear" w:color="auto" w:fill="auto"/>
            <w:vAlign w:val="center"/>
          </w:tcPr>
          <w:p w14:paraId="58125B78">
            <w:pP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培训教学计划、大纲和教材</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分）</w:t>
            </w:r>
          </w:p>
        </w:tc>
        <w:tc>
          <w:tcPr>
            <w:tcW w:w="8221" w:type="dxa"/>
            <w:shd w:val="clear" w:color="auto" w:fill="auto"/>
            <w:vAlign w:val="center"/>
          </w:tcPr>
          <w:p w14:paraId="764C600E">
            <w:pPr>
              <w:spacing w:line="360" w:lineRule="auto"/>
              <w:rPr>
                <w:rFonts w:hint="eastAsia" w:ascii="宋体" w:hAnsi="宋体"/>
                <w:szCs w:val="21"/>
              </w:rPr>
            </w:pPr>
            <w:r>
              <w:rPr>
                <w:rFonts w:hint="eastAsia" w:ascii="Times New Roman" w:hAnsi="Times New Roman" w:cs="Times New Roman"/>
                <w:color w:val="000000" w:themeColor="text1"/>
                <w:szCs w:val="21"/>
                <w:lang w:val="en-US" w:eastAsia="zh-CN"/>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高校拟培训</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宋体" w:hAnsi="宋体"/>
                <w:szCs w:val="21"/>
              </w:rPr>
              <w:t>专业（工种）的教学计划、大纲和教材应符合国家职业标准，培训内容要符合市场需求，具有针对性和实用性，得5分；</w:t>
            </w:r>
          </w:p>
          <w:p w14:paraId="475F00CD">
            <w:pPr>
              <w:spacing w:line="360" w:lineRule="auto"/>
              <w:rPr>
                <w:rFonts w:hint="eastAsia"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宋体" w:hAnsi="宋体"/>
                <w:szCs w:val="21"/>
              </w:rPr>
              <w:t>2.</w:t>
            </w:r>
            <w:r>
              <w:rPr>
                <w:rFonts w:ascii="Times New Roman" w:hAnsi="Times New Roman" w:cs="Times New Roman"/>
                <w:color w:val="000000" w:themeColor="text1"/>
                <w:szCs w:val="21"/>
                <w14:textFill>
                  <w14:solidFill>
                    <w14:schemeClr w14:val="tx1"/>
                  </w14:solidFill>
                </w14:textFill>
              </w:rPr>
              <w:t>高校拟培训</w:t>
            </w:r>
            <w:r>
              <w:rPr>
                <w:rFonts w:hint="eastAsia" w:ascii="Times New Roman" w:hAnsi="Times New Roman" w:cs="Times New Roman"/>
                <w:color w:val="000000" w:themeColor="text1"/>
                <w:szCs w:val="21"/>
                <w:lang w:val="en-US" w:eastAsia="zh-CN"/>
                <w14:textFill>
                  <w14:solidFill>
                    <w14:schemeClr w14:val="tx1"/>
                  </w14:solidFill>
                </w14:textFill>
              </w:rPr>
              <w:t>的</w:t>
            </w:r>
            <w:r>
              <w:rPr>
                <w:rFonts w:hint="eastAsia" w:ascii="宋体" w:hAnsi="宋体"/>
                <w:szCs w:val="21"/>
              </w:rPr>
              <w:t>专业（工种）的教学计划、大纲和教材不符合国家职业标准，不得分。</w:t>
            </w:r>
          </w:p>
        </w:tc>
        <w:tc>
          <w:tcPr>
            <w:tcW w:w="2410" w:type="dxa"/>
            <w:shd w:val="clear" w:color="auto" w:fill="auto"/>
            <w:vAlign w:val="center"/>
          </w:tcPr>
          <w:p w14:paraId="14014526">
            <w:pPr>
              <w:rPr>
                <w:rFonts w:ascii="Times New Roman" w:hAnsi="Times New Roman" w:cs="Times New Roman"/>
                <w:b/>
                <w:color w:val="000000" w:themeColor="text1"/>
                <w:szCs w:val="21"/>
                <w14:textFill>
                  <w14:solidFill>
                    <w14:schemeClr w14:val="tx1"/>
                  </w14:solidFill>
                </w14:textFill>
              </w:rPr>
            </w:pPr>
            <w:r>
              <w:rPr>
                <w:rFonts w:hint="eastAsia" w:ascii="宋体" w:hAnsi="宋体"/>
                <w:b/>
                <w:szCs w:val="21"/>
              </w:rPr>
              <w:t>评审方式：（查阅例如：</w:t>
            </w:r>
            <w:r>
              <w:rPr>
                <w:rFonts w:hint="eastAsia" w:ascii="宋体" w:hAnsi="宋体"/>
                <w:b/>
                <w:szCs w:val="21"/>
                <w:lang w:val="en-US" w:eastAsia="zh-CN"/>
              </w:rPr>
              <w:t>SYB、网络</w:t>
            </w:r>
            <w:r>
              <w:rPr>
                <w:rFonts w:hint="eastAsia" w:ascii="宋体" w:hAnsi="宋体"/>
                <w:b/>
                <w:szCs w:val="21"/>
              </w:rPr>
              <w:t>创业培训）中选</w:t>
            </w:r>
            <w:r>
              <w:rPr>
                <w:rFonts w:hint="eastAsia" w:ascii="宋体" w:hAnsi="宋体"/>
                <w:b/>
                <w:szCs w:val="21"/>
                <w:lang w:val="en-US" w:eastAsia="zh-CN"/>
              </w:rPr>
              <w:t>取</w:t>
            </w:r>
            <w:r>
              <w:rPr>
                <w:rFonts w:hint="eastAsia" w:ascii="宋体" w:hAnsi="宋体"/>
                <w:b/>
                <w:szCs w:val="21"/>
              </w:rPr>
              <w:t>2个工种的教学计划、大纲和教材。</w:t>
            </w:r>
          </w:p>
        </w:tc>
        <w:tc>
          <w:tcPr>
            <w:tcW w:w="1276" w:type="dxa"/>
            <w:shd w:val="clear" w:color="auto" w:fill="auto"/>
          </w:tcPr>
          <w:p w14:paraId="0FC68B6A">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5283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730" w:type="dxa"/>
            <w:shd w:val="clear" w:color="auto" w:fill="auto"/>
            <w:vAlign w:val="center"/>
          </w:tcPr>
          <w:p w14:paraId="5F433892">
            <w:pPr>
              <w:spacing w:after="156" w:afterLines="5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九</w:t>
            </w:r>
          </w:p>
        </w:tc>
        <w:tc>
          <w:tcPr>
            <w:tcW w:w="1363" w:type="dxa"/>
            <w:shd w:val="clear" w:color="auto" w:fill="auto"/>
            <w:vAlign w:val="center"/>
          </w:tcPr>
          <w:p w14:paraId="150115EC">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招生组织方案和培训方案</w:t>
            </w:r>
          </w:p>
          <w:p w14:paraId="02D57142">
            <w:pP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分）</w:t>
            </w:r>
          </w:p>
        </w:tc>
        <w:tc>
          <w:tcPr>
            <w:tcW w:w="8221" w:type="dxa"/>
            <w:shd w:val="clear" w:color="auto" w:fill="auto"/>
            <w:vAlign w:val="center"/>
          </w:tcPr>
          <w:p w14:paraId="643F3E06">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招生组织方案内容完整、详细全面、科学合理、切实可行，保障措施针对性强；培训方案优于招标文件要求，描述完整，内容合理，可行性强、针对性突出、保障措施内容具体全面、培训过程规范考虑全面的，得</w:t>
            </w:r>
            <w:r>
              <w:rPr>
                <w:rFonts w:hint="eastAsia" w:ascii="Times New Roman" w:hAnsi="Times New Roman" w:cs="Times New Roman"/>
                <w:color w:val="000000" w:themeColor="text1"/>
                <w:szCs w:val="21"/>
                <w:lang w:val="en-US" w:eastAsia="zh-CN"/>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分；</w:t>
            </w:r>
          </w:p>
          <w:p w14:paraId="0C5F2061">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2.招生组织方案内容完整、科学合理，保障措施针对性一般的；培训方案描述较完整，内容较合理，针对性较强，得</w:t>
            </w:r>
            <w:r>
              <w:rPr>
                <w:rFonts w:hint="eastAsia" w:ascii="Times New Roman" w:hAnsi="Times New Roman" w:cs="Times New Roman"/>
                <w:color w:val="000000" w:themeColor="text1"/>
                <w:szCs w:val="21"/>
                <w:lang w:val="en-US" w:eastAsia="zh-CN"/>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分；</w:t>
            </w:r>
          </w:p>
          <w:p w14:paraId="325AD875">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3.招生组织方案内容不完整、不够科学合理，保障措施针对性不强；培训方案基本满足招标文件要求，描述基本完整，内容基本合理，有一定针对性，得</w:t>
            </w:r>
            <w:r>
              <w:rPr>
                <w:rFonts w:hint="eastAsia" w:ascii="Times New Roman" w:hAnsi="Times New Roman" w:cs="Times New Roman"/>
                <w:color w:val="000000" w:themeColor="text1"/>
                <w:szCs w:val="21"/>
                <w:lang w:val="en-US" w:eastAsia="zh-CN"/>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分；</w:t>
            </w:r>
          </w:p>
          <w:p w14:paraId="38B828D2">
            <w:pP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4.未提供招生组织方案、培训实施方案或保障措施，不得分。</w:t>
            </w:r>
          </w:p>
        </w:tc>
        <w:tc>
          <w:tcPr>
            <w:tcW w:w="2410" w:type="dxa"/>
            <w:shd w:val="clear" w:color="auto" w:fill="auto"/>
            <w:vAlign w:val="center"/>
          </w:tcPr>
          <w:p w14:paraId="18A0321A">
            <w:pP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查阅培训实施方案涵盖符合高校职业技能所需任意2个工种；查阅获奖证书及照片</w:t>
            </w:r>
          </w:p>
        </w:tc>
        <w:tc>
          <w:tcPr>
            <w:tcW w:w="1276" w:type="dxa"/>
            <w:shd w:val="clear" w:color="auto" w:fill="auto"/>
          </w:tcPr>
          <w:p w14:paraId="54AED73A">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650C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730" w:type="dxa"/>
            <w:shd w:val="clear" w:color="auto" w:fill="auto"/>
            <w:vAlign w:val="center"/>
          </w:tcPr>
          <w:p w14:paraId="2C011221">
            <w:pPr>
              <w:spacing w:after="156" w:afterLines="5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十</w:t>
            </w:r>
          </w:p>
        </w:tc>
        <w:tc>
          <w:tcPr>
            <w:tcW w:w="1363" w:type="dxa"/>
            <w:shd w:val="clear" w:color="auto" w:fill="auto"/>
            <w:vAlign w:val="center"/>
          </w:tcPr>
          <w:p w14:paraId="6F00E4D9">
            <w:pPr>
              <w:jc w:val="cente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培训促</w:t>
            </w:r>
            <w:bookmarkStart w:id="0" w:name="_GoBack"/>
            <w:bookmarkEnd w:id="0"/>
            <w:r>
              <w:rPr>
                <w:rFonts w:ascii="Times New Roman" w:hAnsi="Times New Roman" w:cs="Times New Roman"/>
                <w:color w:val="000000" w:themeColor="text1"/>
                <w:szCs w:val="21"/>
                <w14:textFill>
                  <w14:solidFill>
                    <w14:schemeClr w14:val="tx1"/>
                  </w14:solidFill>
                </w14:textFill>
              </w:rPr>
              <w:t>进就业效果和服务质量承诺、保证措施及违约处罚措施（</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分）</w:t>
            </w:r>
          </w:p>
        </w:tc>
        <w:tc>
          <w:tcPr>
            <w:tcW w:w="8221" w:type="dxa"/>
            <w:shd w:val="clear" w:color="auto" w:fill="auto"/>
            <w:vAlign w:val="center"/>
          </w:tcPr>
          <w:p w14:paraId="59E3F850">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有相对稳定的就业渠道，并与人力资源公司、用工企业、职业介绍机构开展劳务合作，在培训过程中是否通过招聘会、发布岗位信息、邀请用人单位现场招聘等方式主动为培训学员推荐就业岗位，促进培训学员及时就业，并做好相关服务措施。</w:t>
            </w:r>
          </w:p>
          <w:p w14:paraId="2A00EFDA">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1.提供5家单位（包括用工企业、人力资源公司）存在劳务合作关系证明材料。不能出具有效证明，酌情扣1-5分；</w:t>
            </w:r>
          </w:p>
          <w:p w14:paraId="030C880B">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2.培训过程中，培训机构通过推荐岗位信息、邀请用人单位现场招聘等方式主动为培训学员推荐就业岗位，促进培训学员及时就业。不能出具有效证明的，酌情扣1-5分；</w:t>
            </w:r>
          </w:p>
          <w:p w14:paraId="2F1DE47C">
            <w:pP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3.培训结束后，认真落实就业跟踪管理服务制度，继续为培训学员提供就业、发证、回访等后续跟踪服务，不能出具有效证明的，酌情扣1-10分；</w:t>
            </w:r>
          </w:p>
          <w:p w14:paraId="047B467D">
            <w:pPr>
              <w:rPr>
                <w:rFonts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4.未提供培训后就业跟踪管理服务、服务质量承诺、保证措施及违约处罚措施等，该项不得分。</w:t>
            </w:r>
          </w:p>
        </w:tc>
        <w:tc>
          <w:tcPr>
            <w:tcW w:w="2410" w:type="dxa"/>
            <w:shd w:val="clear" w:color="auto" w:fill="auto"/>
            <w:vAlign w:val="center"/>
          </w:tcPr>
          <w:p w14:paraId="07247EEE">
            <w:pPr>
              <w:rPr>
                <w:rFonts w:ascii="Times New Roman" w:hAnsi="Times New Roman" w:cs="Times New Roman" w:eastAsiaTheme="minorEastAsia"/>
                <w:b/>
                <w:color w:val="000000" w:themeColor="text1"/>
                <w:kern w:val="2"/>
                <w:sz w:val="21"/>
                <w:szCs w:val="21"/>
                <w:lang w:val="en-US" w:eastAsia="zh-CN" w:bidi="ar-SA"/>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查阅投标人与人力资源机构、用工企业、职业介绍机构等单位开展与培训工种相对应的劳务合作协议、劳务合作单位的法定代表人身份证复印件、劳务合作单位的就业岗位真实性承诺书、劳务合作单位营业执照扫描件、工作照片等资料。</w:t>
            </w:r>
          </w:p>
        </w:tc>
        <w:tc>
          <w:tcPr>
            <w:tcW w:w="1276" w:type="dxa"/>
            <w:shd w:val="clear" w:color="auto" w:fill="auto"/>
          </w:tcPr>
          <w:p w14:paraId="7429F9E9">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6AD8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2724" w:type="dxa"/>
            <w:gridSpan w:val="4"/>
            <w:shd w:val="clear" w:color="auto" w:fill="auto"/>
            <w:vAlign w:val="center"/>
          </w:tcPr>
          <w:p w14:paraId="46CDBE0F">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合计</w:t>
            </w:r>
          </w:p>
        </w:tc>
        <w:tc>
          <w:tcPr>
            <w:tcW w:w="1276" w:type="dxa"/>
            <w:shd w:val="clear" w:color="auto" w:fill="auto"/>
          </w:tcPr>
          <w:p w14:paraId="5E0116E5">
            <w:pPr>
              <w:spacing w:after="156" w:afterLines="50"/>
              <w:jc w:val="both"/>
              <w:rPr>
                <w:rFonts w:ascii="Times New Roman" w:hAnsi="Times New Roman" w:eastAsia="宋体" w:cs="Times New Roman"/>
                <w:color w:val="000000" w:themeColor="text1"/>
                <w:szCs w:val="21"/>
                <w14:textFill>
                  <w14:solidFill>
                    <w14:schemeClr w14:val="tx1"/>
                  </w14:solidFill>
                </w14:textFill>
              </w:rPr>
            </w:pPr>
          </w:p>
        </w:tc>
      </w:tr>
      <w:tr w14:paraId="6AB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0314" w:type="dxa"/>
            <w:gridSpan w:val="3"/>
            <w:shd w:val="clear" w:color="auto" w:fill="auto"/>
            <w:vAlign w:val="center"/>
          </w:tcPr>
          <w:p w14:paraId="04376C3A">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评审人：</w:t>
            </w:r>
          </w:p>
        </w:tc>
        <w:tc>
          <w:tcPr>
            <w:tcW w:w="3686" w:type="dxa"/>
            <w:gridSpan w:val="2"/>
            <w:shd w:val="clear" w:color="auto" w:fill="auto"/>
            <w:vAlign w:val="center"/>
          </w:tcPr>
          <w:p w14:paraId="5D3F9169">
            <w:pPr>
              <w:spacing w:after="156" w:afterLines="50"/>
              <w:jc w:val="both"/>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评审日期：</w:t>
            </w:r>
          </w:p>
        </w:tc>
      </w:tr>
    </w:tbl>
    <w:p w14:paraId="782F9E1C">
      <w:pPr>
        <w:rPr>
          <w:rFonts w:ascii="Times New Roman" w:hAnsi="Times New Roman" w:eastAsia="仿宋" w:cs="Times New Roman"/>
          <w:color w:val="000000" w:themeColor="text1"/>
          <w:sz w:val="24"/>
          <w:szCs w:val="24"/>
          <w14:textFill>
            <w14:solidFill>
              <w14:schemeClr w14:val="tx1"/>
            </w14:solidFill>
          </w14:textFill>
        </w:rPr>
      </w:pPr>
    </w:p>
    <w:sectPr>
      <w:footerReference r:id="rId3" w:type="default"/>
      <w:pgSz w:w="16838" w:h="11906" w:orient="landscape"/>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894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13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1113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DhiNTAwN2UxMzZjMTMwMzliY2RkMGRjZTZlNjkifQ=="/>
    <w:docVar w:name="KSO_WPS_MARK_KEY" w:val="ef314b09-d096-4b9c-95b5-cba7c934f91c"/>
  </w:docVars>
  <w:rsids>
    <w:rsidRoot w:val="005A741C"/>
    <w:rsid w:val="00017199"/>
    <w:rsid w:val="00037BFA"/>
    <w:rsid w:val="000B1998"/>
    <w:rsid w:val="000F7E2B"/>
    <w:rsid w:val="001A3D76"/>
    <w:rsid w:val="00262C6E"/>
    <w:rsid w:val="002C44D1"/>
    <w:rsid w:val="00394E4C"/>
    <w:rsid w:val="003B37A4"/>
    <w:rsid w:val="004E6D4E"/>
    <w:rsid w:val="00556818"/>
    <w:rsid w:val="00574B1B"/>
    <w:rsid w:val="005A741C"/>
    <w:rsid w:val="005C4178"/>
    <w:rsid w:val="005D1E39"/>
    <w:rsid w:val="00624C02"/>
    <w:rsid w:val="006539CE"/>
    <w:rsid w:val="00665684"/>
    <w:rsid w:val="006D4261"/>
    <w:rsid w:val="00716CC5"/>
    <w:rsid w:val="007F453D"/>
    <w:rsid w:val="00833523"/>
    <w:rsid w:val="008A16F1"/>
    <w:rsid w:val="00980716"/>
    <w:rsid w:val="009853BF"/>
    <w:rsid w:val="00990431"/>
    <w:rsid w:val="009B32A8"/>
    <w:rsid w:val="00AA74C7"/>
    <w:rsid w:val="00AC7962"/>
    <w:rsid w:val="00B17546"/>
    <w:rsid w:val="00B31188"/>
    <w:rsid w:val="00B339C9"/>
    <w:rsid w:val="00B931C6"/>
    <w:rsid w:val="00BA112B"/>
    <w:rsid w:val="00BA7482"/>
    <w:rsid w:val="00BD4ACC"/>
    <w:rsid w:val="00C70787"/>
    <w:rsid w:val="00CF203A"/>
    <w:rsid w:val="00D81162"/>
    <w:rsid w:val="00E64529"/>
    <w:rsid w:val="00EE52FA"/>
    <w:rsid w:val="00EF2199"/>
    <w:rsid w:val="00F161F5"/>
    <w:rsid w:val="00F276FF"/>
    <w:rsid w:val="00F75CB0"/>
    <w:rsid w:val="00FA6B4A"/>
    <w:rsid w:val="04F2372E"/>
    <w:rsid w:val="05831998"/>
    <w:rsid w:val="067C1834"/>
    <w:rsid w:val="0A487607"/>
    <w:rsid w:val="18BC5042"/>
    <w:rsid w:val="19F82AFF"/>
    <w:rsid w:val="1F2D3BB3"/>
    <w:rsid w:val="28F35E57"/>
    <w:rsid w:val="2B333229"/>
    <w:rsid w:val="2F2D51FF"/>
    <w:rsid w:val="2F5C2D21"/>
    <w:rsid w:val="2FC23967"/>
    <w:rsid w:val="31EC70F5"/>
    <w:rsid w:val="338576D5"/>
    <w:rsid w:val="34BD465A"/>
    <w:rsid w:val="36643DCC"/>
    <w:rsid w:val="395E5EC7"/>
    <w:rsid w:val="4AEC06D0"/>
    <w:rsid w:val="4E1D1C34"/>
    <w:rsid w:val="4F890912"/>
    <w:rsid w:val="524F1A19"/>
    <w:rsid w:val="55E65D7D"/>
    <w:rsid w:val="56A63F53"/>
    <w:rsid w:val="58651AED"/>
    <w:rsid w:val="59832A26"/>
    <w:rsid w:val="5C1C6A39"/>
    <w:rsid w:val="607B786F"/>
    <w:rsid w:val="60F94AA6"/>
    <w:rsid w:val="617554CC"/>
    <w:rsid w:val="6E17710E"/>
    <w:rsid w:val="76B97688"/>
    <w:rsid w:val="7E7B1510"/>
    <w:rsid w:val="7F2A5643"/>
    <w:rsid w:val="7F8B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widowControl w:val="0"/>
      <w:adjustRightInd w:val="0"/>
      <w:ind w:firstLine="570"/>
      <w:jc w:val="both"/>
      <w:textAlignment w:val="baseline"/>
    </w:pPr>
    <w:rPr>
      <w:kern w:val="2"/>
      <w:sz w:val="2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341</Words>
  <Characters>1947</Characters>
  <Lines>16</Lines>
  <Paragraphs>4</Paragraphs>
  <TotalTime>2</TotalTime>
  <ScaleCrop>false</ScaleCrop>
  <LinksUpToDate>false</LinksUpToDate>
  <CharactersWithSpaces>2284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2024-04-03T01:26:00Z</dcterms:created>
  <dc:creator>Administrator</dc:creator>
  <cp:lastModifiedBy>WPS</cp:lastModifiedBy>
  <dcterms:modified xsi:type="dcterms:W3CDTF">2026-03-24T03:01:55Z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8E4227E9A72D409CA89470CFAE87B735</vt:lpwstr>
  </property>
</Properties>
</file>