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A589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adjustRightInd w:val="0"/>
        <w:snapToGrid w:val="0"/>
        <w:spacing w:before="0" w:beforeAutospacing="0" w:after="0" w:afterAutospacing="0" w:line="580" w:lineRule="exact"/>
        <w:ind w:left="0" w:right="0"/>
        <w:jc w:val="both"/>
        <w:rPr>
          <w:rFonts w:hint="eastAsia" w:ascii="黑体" w:hAnsi="宋体" w:eastAsia="黑体" w:cs="黑体"/>
          <w:b w:val="0"/>
          <w:bCs w:val="0"/>
          <w:kern w:val="44"/>
          <w:sz w:val="32"/>
          <w:szCs w:val="32"/>
          <w:shd w:val="clear" w:fill="FFFFFF"/>
        </w:rPr>
      </w:pPr>
      <w:bookmarkStart w:id="0" w:name="_GoBack"/>
      <w:bookmarkEnd w:id="0"/>
      <w:r>
        <w:rPr>
          <w:rFonts w:hint="eastAsia" w:ascii="黑体" w:hAnsi="宋体" w:eastAsia="黑体" w:cs="黑体"/>
          <w:b w:val="0"/>
          <w:bCs w:val="0"/>
          <w:kern w:val="44"/>
          <w:sz w:val="32"/>
          <w:szCs w:val="32"/>
          <w:shd w:val="clear" w:fill="FFFFFF"/>
          <w:lang w:val="en-US" w:eastAsia="zh-CN" w:bidi="ar"/>
        </w:rPr>
        <w:t>案例一</w:t>
      </w:r>
    </w:p>
    <w:p w14:paraId="60CE7E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4"/>
          <w:sz w:val="44"/>
          <w:szCs w:val="44"/>
        </w:rPr>
      </w:pPr>
      <w:r>
        <w:rPr>
          <w:rFonts w:hint="eastAsia" w:ascii="方正小标宋简体" w:hAnsi="方正小标宋简体" w:eastAsia="方正小标宋简体" w:cs="方正小标宋简体"/>
          <w:b w:val="0"/>
          <w:bCs w:val="0"/>
          <w:i w:val="0"/>
          <w:iCs w:val="0"/>
          <w:caps w:val="0"/>
          <w:color w:val="auto"/>
          <w:spacing w:val="4"/>
          <w:sz w:val="44"/>
          <w:szCs w:val="44"/>
          <w:shd w:val="clear" w:fill="FFFFFF"/>
        </w:rPr>
        <w:t>中央层面深入贯彻中央八项规定精神学习教育工作专班、中央纪委办公厅</w:t>
      </w:r>
      <w:r>
        <w:rPr>
          <w:rStyle w:val="8"/>
          <w:rFonts w:hint="eastAsia" w:ascii="方正小标宋简体" w:hAnsi="方正小标宋简体" w:eastAsia="方正小标宋简体" w:cs="方正小标宋简体"/>
          <w:b w:val="0"/>
          <w:bCs w:val="0"/>
          <w:i w:val="0"/>
          <w:iCs w:val="0"/>
          <w:caps w:val="0"/>
          <w:color w:val="auto"/>
          <w:spacing w:val="4"/>
          <w:sz w:val="44"/>
          <w:szCs w:val="44"/>
          <w:shd w:val="clear" w:fill="FFFFFF"/>
        </w:rPr>
        <w:t>公开通报党员干部违规吃喝严重违反中央八项规定精神典型问题</w:t>
      </w:r>
    </w:p>
    <w:p w14:paraId="6BB9D7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Style w:val="8"/>
          <w:rFonts w:hint="eastAsia" w:ascii="仿宋_GB2312" w:hAnsi="仿宋_GB2312" w:eastAsia="仿宋_GB2312" w:cs="仿宋_GB2312"/>
          <w:sz w:val="32"/>
          <w:szCs w:val="32"/>
        </w:rPr>
      </w:pPr>
    </w:p>
    <w:p w14:paraId="511FA5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hint="eastAsia" w:ascii="仿宋_GB2312" w:hAnsi="仿宋_GB2312" w:eastAsia="仿宋_GB2312" w:cs="仿宋_GB2312"/>
          <w:color w:val="auto"/>
          <w:sz w:val="32"/>
          <w:szCs w:val="32"/>
        </w:rPr>
      </w:pPr>
      <w:r>
        <w:rPr>
          <w:rStyle w:val="8"/>
          <w:rFonts w:hint="eastAsia" w:ascii="仿宋_GB2312" w:hAnsi="仿宋_GB2312" w:eastAsia="仿宋_GB2312" w:cs="仿宋_GB2312"/>
          <w:color w:val="auto"/>
          <w:sz w:val="32"/>
          <w:szCs w:val="32"/>
        </w:rPr>
        <w:t>湖北省黄冈市黄梅县有关党员干部违规吃喝问题</w:t>
      </w:r>
    </w:p>
    <w:p w14:paraId="70F22A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2025年4月5日，湖北省黄冈市黄梅县有关党员干部违规聚餐饮酒，接受、提供可能影响公正执行公务的宴请，严重违反中央八项规定精神。4月4日，成都市金牛区政府党组成员、副区长张建（曾任湖北省黄梅县委常委、下新镇党委书记）返回湖北老家祭祖，位于金牛区的中铁二局房地产集团有限公司党委书记、执行董事黄小松安排该公司接待人员向明辉到武汉租用车辆、携带酒烟为张建提供服务。当日，张建联系下新镇政府原二级主任科员殷士国（已退休），商定邀请原同事聚餐。4月5日中午，张建、殷士国和黄梅县委常委、统战部部长罗盘军，黄梅镇人大主席桂黎军，黄梅镇党委委员、副镇长陈贤龙，下新镇财政所所长商敏等人在某餐馆聚餐。罗盘军先行离开后，黄梅镇党委副书记、镇长王波和濯港镇党委副书记陈浩到达餐馆聚餐。除陈贤龙、商敏、向明辉、殷士国及其妻外，其余聚餐人员饮用向明辉提供的高档白酒。餐费由向明辉、殷士国支付。当日下午罗盘军死亡，经检测，其体内酒精含量4.35毫克/100毫升，诊断结果系心源性猝死。事后，黄梅县委常委、县委办公室主任潘郭华隐瞒张建和黄梅县多名党员干部违规吃喝等信息，经黄梅县委书记马梁同意，报送黄冈市委办公室。黄冈市委常委、市委秘书长余友斌修改报告时，隐瞒张建真实身份，删除聚餐人员数量等信息，对由谁付款模糊化处理，经黄冈市委书记李军杰同意后，上报省委办公厅。</w:t>
      </w:r>
    </w:p>
    <w:p w14:paraId="69A01C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问题发生后，湖北省、四川省纪委监委和中国中铁纪委提级办理，给予相关责任人处理处分。给予张建开除党籍、政务撤职处分，降为二级科员；给予殷士国留党察看一年处分，按照二级科员调整退休待遇；给予黄小松撤销党内职务、撤职处分；给予桂黎军党内严重警告（影响期二年）、政务撤职处分，降为四级主任科员；给予王波、陈浩党内严重警告、政务降级处分；给予陈贤龙、商敏党内警告处分；给予潘郭华、余友斌党内严重警告处分。李军杰对上报材料审核把关不严，责令其作出书面检查；马梁履行全面从严治党主体责任不力，对报送材料审核把关不严，未及时、准确上报罗盘军非正常死亡事件情况，给予其党内严重警告处分；黄梅县委常委、纪委书记、监委主任陈建新履行全面从严治党监督责任不力，给予其诫勉处理。</w:t>
      </w:r>
    </w:p>
    <w:p w14:paraId="7AD2321F">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textAlignment w:val="auto"/>
        <w:rPr>
          <w:rFonts w:hint="eastAsia" w:ascii="黑体" w:hAnsi="黑体" w:eastAsia="黑体" w:cs="黑体"/>
          <w:b w:val="0"/>
          <w:bCs w:val="0"/>
          <w:color w:val="auto"/>
          <w:kern w:val="44"/>
          <w:sz w:val="32"/>
          <w:szCs w:val="32"/>
          <w:lang w:val="en-US" w:eastAsia="zh-CN" w:bidi="ar-SA"/>
        </w:rPr>
      </w:pPr>
    </w:p>
    <w:p w14:paraId="4EB00549">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textAlignment w:val="auto"/>
        <w:rPr>
          <w:rFonts w:hint="eastAsia" w:ascii="黑体" w:hAnsi="黑体" w:eastAsia="黑体" w:cs="黑体"/>
          <w:b w:val="0"/>
          <w:bCs w:val="0"/>
          <w:color w:val="auto"/>
          <w:kern w:val="44"/>
          <w:sz w:val="32"/>
          <w:szCs w:val="32"/>
          <w:lang w:val="en-US" w:eastAsia="zh-CN" w:bidi="ar-SA"/>
        </w:rPr>
      </w:pPr>
    </w:p>
    <w:p w14:paraId="38724156">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textAlignment w:val="auto"/>
        <w:rPr>
          <w:rFonts w:hint="eastAsia" w:ascii="黑体" w:hAnsi="黑体" w:eastAsia="黑体" w:cs="黑体"/>
          <w:b w:val="0"/>
          <w:bCs w:val="0"/>
          <w:color w:val="auto"/>
          <w:kern w:val="44"/>
          <w:sz w:val="32"/>
          <w:szCs w:val="32"/>
          <w:lang w:val="en-US" w:eastAsia="zh-CN" w:bidi="ar-SA"/>
        </w:rPr>
      </w:pPr>
    </w:p>
    <w:p w14:paraId="2EC5DB16">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textAlignment w:val="auto"/>
        <w:rPr>
          <w:rFonts w:hint="eastAsia" w:ascii="黑体" w:hAnsi="黑体" w:eastAsia="黑体" w:cs="黑体"/>
          <w:b w:val="0"/>
          <w:bCs w:val="0"/>
          <w:color w:val="auto"/>
          <w:kern w:val="44"/>
          <w:sz w:val="32"/>
          <w:szCs w:val="32"/>
          <w:lang w:val="en-US" w:eastAsia="zh-CN" w:bidi="ar-SA"/>
        </w:rPr>
      </w:pPr>
    </w:p>
    <w:p w14:paraId="4998DE04">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textAlignment w:val="auto"/>
        <w:rPr>
          <w:rFonts w:hint="eastAsia" w:ascii="黑体" w:hAnsi="黑体" w:eastAsia="黑体" w:cs="黑体"/>
          <w:b w:val="0"/>
          <w:bCs w:val="0"/>
          <w:color w:val="auto"/>
          <w:kern w:val="44"/>
          <w:sz w:val="32"/>
          <w:szCs w:val="32"/>
          <w:lang w:val="en-US" w:eastAsia="zh-CN" w:bidi="ar-SA"/>
        </w:rPr>
      </w:pPr>
    </w:p>
    <w:p w14:paraId="14C04560">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textAlignment w:val="auto"/>
        <w:rPr>
          <w:rFonts w:hint="eastAsia" w:ascii="黑体" w:hAnsi="黑体" w:eastAsia="黑体" w:cs="黑体"/>
          <w:b w:val="0"/>
          <w:bCs w:val="0"/>
          <w:color w:val="auto"/>
          <w:kern w:val="44"/>
          <w:sz w:val="32"/>
          <w:szCs w:val="32"/>
          <w:lang w:val="en-US" w:eastAsia="zh-CN" w:bidi="ar-SA"/>
        </w:rPr>
      </w:pPr>
    </w:p>
    <w:p w14:paraId="2EDB0544">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textAlignment w:val="auto"/>
        <w:rPr>
          <w:rFonts w:hint="eastAsia" w:ascii="黑体" w:hAnsi="黑体" w:eastAsia="黑体" w:cs="黑体"/>
          <w:b w:val="0"/>
          <w:bCs w:val="0"/>
          <w:color w:val="auto"/>
          <w:kern w:val="44"/>
          <w:sz w:val="32"/>
          <w:szCs w:val="32"/>
          <w:lang w:val="en-US" w:eastAsia="zh-CN" w:bidi="ar-SA"/>
        </w:rPr>
      </w:pPr>
    </w:p>
    <w:p w14:paraId="13466171">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textAlignment w:val="auto"/>
        <w:rPr>
          <w:rFonts w:hint="eastAsia" w:ascii="黑体" w:hAnsi="黑体" w:eastAsia="黑体" w:cs="黑体"/>
          <w:b w:val="0"/>
          <w:bCs w:val="0"/>
          <w:color w:val="auto"/>
          <w:kern w:val="44"/>
          <w:sz w:val="32"/>
          <w:szCs w:val="32"/>
          <w:lang w:val="en-US" w:eastAsia="zh-CN" w:bidi="ar-SA"/>
        </w:rPr>
      </w:pPr>
    </w:p>
    <w:p w14:paraId="5A9AFFC3">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textAlignment w:val="auto"/>
        <w:rPr>
          <w:rFonts w:hint="eastAsia" w:ascii="黑体" w:hAnsi="黑体" w:eastAsia="黑体" w:cs="黑体"/>
          <w:b w:val="0"/>
          <w:bCs w:val="0"/>
          <w:color w:val="auto"/>
          <w:kern w:val="44"/>
          <w:sz w:val="32"/>
          <w:szCs w:val="32"/>
          <w:lang w:val="en-US" w:eastAsia="zh-CN" w:bidi="ar-SA"/>
        </w:rPr>
      </w:pPr>
    </w:p>
    <w:p w14:paraId="128A328D">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textAlignment w:val="auto"/>
        <w:rPr>
          <w:rFonts w:hint="eastAsia" w:ascii="黑体" w:hAnsi="黑体" w:eastAsia="黑体" w:cs="黑体"/>
          <w:b w:val="0"/>
          <w:bCs w:val="0"/>
          <w:color w:val="auto"/>
          <w:kern w:val="44"/>
          <w:sz w:val="32"/>
          <w:szCs w:val="32"/>
          <w:lang w:val="en-US" w:eastAsia="zh-CN" w:bidi="ar-SA"/>
        </w:rPr>
      </w:pPr>
      <w:r>
        <w:rPr>
          <w:rFonts w:hint="eastAsia" w:ascii="黑体" w:hAnsi="黑体" w:eastAsia="黑体" w:cs="黑体"/>
          <w:b w:val="0"/>
          <w:bCs w:val="0"/>
          <w:color w:val="auto"/>
          <w:kern w:val="44"/>
          <w:sz w:val="32"/>
          <w:szCs w:val="32"/>
          <w:lang w:val="en-US" w:eastAsia="zh-CN" w:bidi="ar-SA"/>
        </w:rPr>
        <w:t>案例二</w:t>
      </w:r>
    </w:p>
    <w:p w14:paraId="5EC5957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i w:val="0"/>
          <w:iCs w:val="0"/>
          <w:caps w:val="0"/>
          <w:color w:val="auto"/>
          <w:spacing w:val="4"/>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auto"/>
          <w:spacing w:val="4"/>
          <w:kern w:val="0"/>
          <w:sz w:val="44"/>
          <w:szCs w:val="44"/>
          <w:shd w:val="clear" w:fill="FFFFFF"/>
          <w:lang w:val="en-US" w:eastAsia="zh-CN" w:bidi="ar"/>
        </w:rPr>
        <w:t>大国工匠何巧娟</w:t>
      </w:r>
    </w:p>
    <w:p w14:paraId="05F991D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i w:val="0"/>
          <w:iCs w:val="0"/>
          <w:caps w:val="0"/>
          <w:color w:val="auto"/>
          <w:spacing w:val="4"/>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auto"/>
          <w:spacing w:val="4"/>
          <w:kern w:val="0"/>
          <w:sz w:val="44"/>
          <w:szCs w:val="44"/>
          <w:shd w:val="clear" w:fill="FFFFFF"/>
          <w:lang w:val="en-US" w:eastAsia="zh-CN" w:bidi="ar"/>
        </w:rPr>
        <w:t>——用墨拓守护三千年的甲骨文密码</w:t>
      </w:r>
    </w:p>
    <w:p w14:paraId="454BD9F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p>
    <w:p w14:paraId="06C7298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文物墨拓，是将文物文字图案拓印保存的古老技艺。何巧娟，中国社会科学院考古研究所高级技师，正是这门技艺的守护者与创新者。她尤其擅长墨拓甲骨——那些记录殷商文明、却因三千年风化而极其脆弱的珍贵遗存。</w:t>
      </w:r>
    </w:p>
    <w:p w14:paraId="65936D9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墨拓是甲骨研究的前提，拓片质量直接影响成果。何巧娟深知责任重大，殷墟博物馆展厅中展出的珍稀甲骨，包括“一片甲骨惊天下”的国宝和镶嵌绿松石的孤品，几乎都经她之手墨拓。这项工作要求心、眼、手高度协调。面对坑洼不平的甲骨表面，她甚至自制了牙签般细小的拓包，确保能精准拓印每一道笔划。她强调：“拓甲骨要有敬畏心，保护甲骨就是保护历史。”</w:t>
      </w:r>
    </w:p>
    <w:p w14:paraId="7DE78C3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何巧娟始终坚持“保护第一”。传统拓印使用白芨水，但易与甲骨粘连造成风险。她苦心钻研，发现用纯净的蒸馏水替代，既能完美贴合甲骨，又便于安全揭取。这一创新解决了行业难题，已在全国推广。她还改良工具，如引入马鬃刷上纸、用蓬松棉制拓包。</w:t>
      </w:r>
    </w:p>
    <w:p w14:paraId="797EB80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何巧娟1990年加入安阳考古队，专攻甲骨修复与墨拓，三十五年如一日，已拓印修复甲骨上万片。面对国内掌握高难度“全形拓”（立体器物平面拓印）者寥寥的现状，她深感技艺传承的重要。</w:t>
      </w:r>
    </w:p>
    <w:p w14:paraId="3502E91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让三千多年的甲骨文“活起来”，是她不懈的动力。“心里非常自豪，”何巧娟说，“拓的东西全国人民都可以看到，让中华民族的传统文化发扬光大。只要有需要，我就会一直做下去。”她用双手感知着古老的文化密码，赓续着源远流长的中华文明。</w:t>
      </w:r>
    </w:p>
    <w:p w14:paraId="0A25BD12">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ind w:left="0" w:firstLine="640" w:firstLineChars="200"/>
        <w:textAlignment w:val="auto"/>
        <w:rPr>
          <w:rFonts w:hint="eastAsia" w:ascii="仿宋_GB2312" w:hAnsi="仿宋_GB2312" w:eastAsia="仿宋_GB2312" w:cs="仿宋_GB2312"/>
          <w:color w:val="auto"/>
          <w:kern w:val="0"/>
          <w:sz w:val="32"/>
          <w:szCs w:val="32"/>
          <w:lang w:val="en-US" w:eastAsia="zh-CN" w:bidi="ar"/>
        </w:rPr>
      </w:pP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96AF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05C6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E05C6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609ED"/>
    <w:rsid w:val="07751C03"/>
    <w:rsid w:val="0C6A2581"/>
    <w:rsid w:val="0E012A71"/>
    <w:rsid w:val="0E105011"/>
    <w:rsid w:val="0F807757"/>
    <w:rsid w:val="10572E1C"/>
    <w:rsid w:val="136A54BC"/>
    <w:rsid w:val="144E4536"/>
    <w:rsid w:val="16C378E8"/>
    <w:rsid w:val="1707609C"/>
    <w:rsid w:val="17BB1F9A"/>
    <w:rsid w:val="188E5E3A"/>
    <w:rsid w:val="18C96E4C"/>
    <w:rsid w:val="1965262D"/>
    <w:rsid w:val="1F550E6F"/>
    <w:rsid w:val="1FF26BAE"/>
    <w:rsid w:val="20717F2A"/>
    <w:rsid w:val="22383035"/>
    <w:rsid w:val="226C3F89"/>
    <w:rsid w:val="232B2612"/>
    <w:rsid w:val="23F01166"/>
    <w:rsid w:val="27F03E2A"/>
    <w:rsid w:val="28941748"/>
    <w:rsid w:val="2AE8528D"/>
    <w:rsid w:val="2FB055CC"/>
    <w:rsid w:val="330E785B"/>
    <w:rsid w:val="394C69E7"/>
    <w:rsid w:val="3B64270E"/>
    <w:rsid w:val="3E135D25"/>
    <w:rsid w:val="3F35634F"/>
    <w:rsid w:val="40672358"/>
    <w:rsid w:val="41CD0868"/>
    <w:rsid w:val="41D63C39"/>
    <w:rsid w:val="42C13FA2"/>
    <w:rsid w:val="445175A7"/>
    <w:rsid w:val="47CB3E82"/>
    <w:rsid w:val="48B22473"/>
    <w:rsid w:val="4A842484"/>
    <w:rsid w:val="4B424DF9"/>
    <w:rsid w:val="4D64660C"/>
    <w:rsid w:val="52306A4E"/>
    <w:rsid w:val="54EF499E"/>
    <w:rsid w:val="56B87F24"/>
    <w:rsid w:val="59ED3476"/>
    <w:rsid w:val="608A5EC3"/>
    <w:rsid w:val="614E310A"/>
    <w:rsid w:val="615E35D8"/>
    <w:rsid w:val="642224AB"/>
    <w:rsid w:val="6578453C"/>
    <w:rsid w:val="671224F8"/>
    <w:rsid w:val="67BF282B"/>
    <w:rsid w:val="681542C4"/>
    <w:rsid w:val="6BBD0EFB"/>
    <w:rsid w:val="6CEE3336"/>
    <w:rsid w:val="6E8102B1"/>
    <w:rsid w:val="739C7F8F"/>
    <w:rsid w:val="7476433D"/>
    <w:rsid w:val="75EB0D5A"/>
    <w:rsid w:val="774872ED"/>
    <w:rsid w:val="779D6084"/>
    <w:rsid w:val="77C33D3D"/>
    <w:rsid w:val="78E57CE3"/>
    <w:rsid w:val="79986BD4"/>
    <w:rsid w:val="79F24DF4"/>
    <w:rsid w:val="7A3C7DD6"/>
    <w:rsid w:val="7DA43CC8"/>
    <w:rsid w:val="7DD32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widowControl w:val="0"/>
      <w:suppressLineNumbers w:val="0"/>
      <w:spacing w:before="0" w:beforeAutospacing="1" w:after="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0" w:beforeAutospacing="1" w:after="0" w:afterAutospacing="1"/>
      <w:ind w:left="0" w:right="0"/>
      <w:jc w:val="left"/>
    </w:pPr>
    <w:rPr>
      <w:rFonts w:ascii="宋体" w:hAnsi="宋体" w:cs="宋体"/>
      <w:kern w:val="0"/>
      <w:sz w:val="24"/>
      <w:szCs w:val="24"/>
      <w:lang w:val="en-US" w:eastAsia="zh-CN" w:bidi="ar"/>
    </w:rPr>
  </w:style>
  <w:style w:type="character" w:styleId="8">
    <w:name w:val="Strong"/>
    <w:basedOn w:val="7"/>
    <w:qFormat/>
    <w:uiPriority w:val="0"/>
    <w:rPr>
      <w:b/>
    </w:rPr>
  </w:style>
  <w:style w:type="character" w:styleId="9">
    <w:name w:val="page number"/>
    <w:qFormat/>
    <w:uiPriority w:val="0"/>
  </w:style>
  <w:style w:type="character" w:customStyle="1" w:styleId="10">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1566</Words>
  <Characters>1578</Characters>
  <Lines>0</Lines>
  <Paragraphs>0</Paragraphs>
  <TotalTime>4</TotalTime>
  <ScaleCrop>false</ScaleCrop>
  <LinksUpToDate>false</LinksUpToDate>
  <CharactersWithSpaces>1578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2025-04-26T01:45:00Z</dcterms:created>
  <dc:creator>Administrator</dc:creator>
  <cp:lastModifiedBy>刘静</cp:lastModifiedBy>
  <dcterms:modified xsi:type="dcterms:W3CDTF">2025-06-09T12:13:37Z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eyJoZGlkIjoiMjdlY2E0NjVkNTQzNzA0ZTFiZmM4NGE4ZmVhMjJkYWUiLCJ1c2VySWQiOiIxNjY1OTQ1NjczIn0=</vt:lpwstr>
  </property>
  <property fmtid="{D5CDD505-2E9C-101B-9397-08002B2CF9AE}" pid="4" name="ICV">
    <vt:lpwstr>BB7A16150E6F4CD3A4B6CCCED129F6A4_13</vt:lpwstr>
  </property>
</Properties>
</file>