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58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eastAsia" w:ascii="黑体" w:hAnsi="宋体" w:eastAsia="黑体" w:cs="黑体"/>
          <w:b w:val="0"/>
          <w:bCs w:val="0"/>
          <w:kern w:val="44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kern w:val="44"/>
          <w:sz w:val="32"/>
          <w:szCs w:val="32"/>
          <w:shd w:val="clear" w:fill="FFFFFF"/>
          <w:lang w:val="en-US" w:eastAsia="zh-CN" w:bidi="ar"/>
        </w:rPr>
        <w:t>案例一</w:t>
      </w:r>
    </w:p>
    <w:p w14:paraId="4944833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443"/>
        <w:jc w:val="center"/>
        <w:textAlignment w:val="auto"/>
        <w:rPr>
          <w:rFonts w:hint="eastAsia" w:ascii="楷体" w:hAnsi="楷体" w:eastAsia="楷体" w:cs="楷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color="auto" w:fill="FFFFFF"/>
          <w:lang w:val="en-US" w:eastAsia="zh-CN" w:bidi="ar-SA"/>
        </w:rPr>
        <w:t>违反中央八项规定精神典型案例（六）</w:t>
      </w:r>
    </w:p>
    <w:p w14:paraId="71DDA0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562FEA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以虚列事由套取费用等方式违规吃喝</w:t>
      </w:r>
    </w:p>
    <w:p w14:paraId="63B477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案例：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某镇应急管理所所长张某，为套取违规吃喝费用，虚假策划了一场针对辖区内企业负责人的"安全生产培训"。他安排下属王某编造培训计划、课程内容，要求突出"专业性"，同时虚构学员名单，涵盖了辖区内多家企业的负责人。事实上，张某带着所里的工作人员来到一家高档餐厅大吃大喝，总共花费3000多元。之后，张某让王某准备假培训资料，虚构培训成果报告，将费用伪装成培训期间的各项开支，在单位财务报销。</w:t>
      </w:r>
    </w:p>
    <w:p w14:paraId="0746A0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剖析：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以虚列事由套取费用等方式违规吃喝，是当前"四风"隐形变异的一种新形式、新变种。案例中的张某、王某及其他人员纪法意识淡薄，受享乐主义、奢靡之风驱使，将公权力作为满足私欲的工具，以虚假培训方式套取公款用于吃喝，妄图采取隐蔽手段蒙混过关。最终，难逃纪律的惩处。这些行为不仅浪费公共财产，损害党和政府公信力，还可能引发他人跟风效仿，加剧不正之风蔓延，必须予以严肃纠治。</w:t>
      </w:r>
    </w:p>
    <w:p w14:paraId="2EC2ED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出现上述行为通常情况是由于单位内部监管机制存在漏洞，财务审核把关不严，对虚假资料缺乏有效核实审查，相关制度执行不力，缺乏有效监督。从实践看，以套取费用、虚列费用等方式吃喝花样百出，比如以办公费、宣传费、会议费、培训费、印刷费、劳务费、招待费等虚假名义，通过虚开发票等方式，套取公款报销餐费。有的将吃喝的大额费用拆分为小额发票报销，或者通过收入不入账、账外有账，建立"小金库"用于违规吃喝。还有的通过项目资金等专项工作经费支付吃喝费用。但无论隐藏多深、变异多巧，都难逃越织越密、越来越精准的执纪之网。</w:t>
      </w:r>
    </w:p>
    <w:p w14:paraId="0B8B95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违规吃喝问题绝非小事小节，关系党和政府在人民群众心中的形象。各级纪检监察机关要坚持零容忍态度，对套取费用、虚列费用等隐形变异的违规吃喝问题，发现一起、查处一起，使违规违纪者付出应有代价。广大党员干部和公职人员也必须时刻警醒，不得触碰"红线"。</w:t>
      </w:r>
    </w:p>
    <w:p w14:paraId="193A7F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除了严厉的事后处理措施外，还需要从制度层面加强对权力的规范和约束，加强预算、审计及日常审批管理等环节的事前预防和事中监督，推动政务公开，确保财务预算及报销制度在严密监督下运行，全面堵塞管理漏洞。</w:t>
      </w:r>
    </w:p>
    <w:p w14:paraId="4A43D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sz w:val="32"/>
          <w:szCs w:val="32"/>
        </w:rPr>
      </w:pPr>
    </w:p>
    <w:p w14:paraId="7306D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sz w:val="32"/>
          <w:szCs w:val="32"/>
        </w:rPr>
      </w:pPr>
    </w:p>
    <w:p w14:paraId="45BA08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6F8F5D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1EB510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49EB04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1B83BE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0F12E0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7E546F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4C53C2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6D7CD5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</w:p>
    <w:p w14:paraId="128A32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案例二</w:t>
      </w:r>
    </w:p>
    <w:p w14:paraId="3944DE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大国工匠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张洪宾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 xml:space="preserve">头发丝直径十六分之一 </w:t>
      </w:r>
    </w:p>
    <w:p w14:paraId="2877C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他在毫厘间精准打磨动车零件</w:t>
      </w:r>
    </w:p>
    <w:p w14:paraId="0F7D70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0C0BAA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全球最快高铁CR450动车组样车正进行型式试验，其制动系统面临极限挑战：需在112秒内将时速400公里的列车刹停，制动距离仅6500米。张洪宾作为铁科纵横（天津）高级技师，带领团队攻克了制动盘盘毂和楔形销两大核心部件的精密制造难题。</w:t>
      </w:r>
    </w:p>
    <w:p w14:paraId="3F08B6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盘毂作为制动系统的"力量担当"，需耐受700℃高温且精度达0.005毫米。2012年"复兴号"研发时，张洪宾突破常规工艺，放弃进口磨床方案，大胆采用高精度车削技术。历经3个月攻关，通过7种刀具试验、9种走刀路径优化，创新实现车床加工盘毂，效率更比国外工艺提升一倍。</w:t>
      </w:r>
    </w:p>
    <w:p w14:paraId="77830E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在CR450研发中，张洪宾再遇“楔形销”难题。这个5厘米高的"安全锁扣"加工时易出现让刀现象。他通过创新弧面数控加工技术，优化异形刀具参数，精准控制切削深度和转速，最终实现楔形销与制动夹钳的完美配合。</w:t>
      </w:r>
    </w:p>
    <w:p w14:paraId="3D76AE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从复兴号CR400到CR450，中国高铁完成从追赶到领跑的跨越。张洪宾团队将零部件加工精度持续推向新高度，其研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  <w:t>发的制动系统已装车试验，支撑中国高铁向时速400公里迈进。</w:t>
      </w:r>
    </w:p>
    <w:p w14:paraId="4E4C00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6229BA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</w:p>
    <w:p w14:paraId="65F590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6A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05C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05C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2581"/>
    <w:rsid w:val="1965262D"/>
    <w:rsid w:val="226C3F89"/>
    <w:rsid w:val="28941748"/>
    <w:rsid w:val="445175A7"/>
    <w:rsid w:val="47CB3E82"/>
    <w:rsid w:val="48B22473"/>
    <w:rsid w:val="4D64660C"/>
    <w:rsid w:val="614E310A"/>
    <w:rsid w:val="6BBD0EFB"/>
    <w:rsid w:val="779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1033</Characters>
  <Lines>0</Lines>
  <Paragraphs>0</Paragraphs>
  <TotalTime>1</TotalTime>
  <ScaleCrop>false</ScaleCrop>
  <LinksUpToDate>false</LinksUpToDate>
  <CharactersWithSpaces>1040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2025-04-26T01:45:00Z</dcterms:created>
  <dc:creator>Administrator</dc:creator>
  <cp:lastModifiedBy>刘静</cp:lastModifiedBy>
  <dcterms:modified xsi:type="dcterms:W3CDTF">2025-05-19T08:25:23Z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eyJoZGlkIjoiMGZlZjU3MjdjOWY2Y2ZmNTEyMTNlNWZiY2ViYjhhOWMiLCJ1c2VySWQiOiIxNjY1OTQ1NjczIn0=</vt:lpwstr>
  </property>
  <property fmtid="{D5CDD505-2E9C-101B-9397-08002B2CF9AE}" pid="4" name="ICV">
    <vt:lpwstr>5CCC354902974156B80DEBAA55A39629_12</vt:lpwstr>
  </property>
</Properties>
</file>