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34" w:rsidRDefault="00D36234" w:rsidP="00D36234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D36234" w:rsidRDefault="00D36234" w:rsidP="00D36234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D36234" w:rsidRP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D36234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江城县教师进修学校原校长李卫平违规审批报销差旅费、燃油费等问题</w:t>
      </w:r>
    </w:p>
    <w:p w:rsid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方正楷体_GBK" w:eastAsia="方正楷体_GBK" w:hint="eastAsia"/>
          <w:color w:val="000000"/>
          <w:sz w:val="32"/>
          <w:szCs w:val="32"/>
          <w:shd w:val="clear" w:color="auto" w:fill="FFFFFF"/>
        </w:rPr>
        <w:t>来源：普洱市纪委监委   发布时间：2022/08/17 17:59:00）</w:t>
      </w:r>
    </w:p>
    <w:p w:rsidR="00D36234" w:rsidRP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r w:rsidRPr="00D3623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2017年至2019年，李卫平在担任江城县教师进修学校校长期间，违反中央八项规定精神和工作纪律，未严格执行相关差旅管理规定，违规审批同意报销江城县教师进修学校教职工下乡、出差餐饮费、住宿费、燃油费，共计17606.02元。2021年5月，李卫</w:t>
      </w:r>
      <w:proofErr w:type="gramStart"/>
      <w:r w:rsidRPr="00D3623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平受到</w:t>
      </w:r>
      <w:proofErr w:type="gramEnd"/>
      <w:r w:rsidRPr="00D3623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党内警告处分。</w:t>
      </w:r>
    </w:p>
    <w:p w:rsidR="00D36234" w:rsidRDefault="00D36234" w:rsidP="00D36234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D36234" w:rsidRDefault="00D36234" w:rsidP="00D36234">
      <w:pPr>
        <w:rPr>
          <w:rFonts w:hint="eastAsia"/>
        </w:rPr>
      </w:pPr>
    </w:p>
    <w:p w:rsidR="00D36234" w:rsidRPr="00D36234" w:rsidRDefault="00D36234" w:rsidP="00D36234">
      <w:pPr>
        <w:rPr>
          <w:rFonts w:hint="eastAsia"/>
        </w:rPr>
      </w:pPr>
    </w:p>
    <w:p w:rsidR="00D36234" w:rsidRDefault="00D36234" w:rsidP="00D36234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>案例二</w:t>
      </w:r>
      <w:bookmarkStart w:id="0" w:name="_GoBack"/>
      <w:bookmarkEnd w:id="0"/>
    </w:p>
    <w:p w:rsidR="00D36234" w:rsidRPr="00D36234" w:rsidRDefault="00D36234" w:rsidP="00D36234">
      <w:pPr>
        <w:rPr>
          <w:rFonts w:ascii="黑体" w:eastAsia="黑体" w:hAnsi="黑体" w:hint="eastAsia"/>
          <w:sz w:val="32"/>
          <w:szCs w:val="32"/>
        </w:rPr>
      </w:pPr>
      <w:r>
        <w:t xml:space="preserve"> </w:t>
      </w:r>
    </w:p>
    <w:p w:rsid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D36234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玉溪体育运动学校保留原职级待遇干部</w:t>
      </w:r>
    </w:p>
    <w:p w:rsidR="00D36234" w:rsidRP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/>
          <w:color w:val="000000"/>
          <w:kern w:val="44"/>
          <w:sz w:val="44"/>
          <w:szCs w:val="44"/>
          <w:shd w:val="clear" w:color="auto" w:fill="FFFFFF"/>
        </w:rPr>
      </w:pPr>
      <w:r w:rsidRPr="00D36234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杨长兴不正确履行监督职责问题</w:t>
      </w:r>
    </w:p>
    <w:p w:rsid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rPr>
          <w:rFonts w:ascii="方正楷体_GBK" w:eastAsia="方正楷体_GBK" w:hint="eastAsia"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方正楷体_GBK" w:eastAsia="方正楷体_GBK" w:hint="eastAsia"/>
          <w:color w:val="000000"/>
          <w:sz w:val="32"/>
          <w:szCs w:val="32"/>
          <w:shd w:val="clear" w:color="auto" w:fill="FFFFFF"/>
        </w:rPr>
        <w:t>发布时间：2019-11-29 14:33:35   来源：玉溪市纪委监委</w:t>
      </w:r>
    </w:p>
    <w:p w:rsidR="00266289" w:rsidRPr="00D36234" w:rsidRDefault="00D36234" w:rsidP="00D36234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D3623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2014年1月至2017年3月，杨长兴在担任玉溪一中党委副书记、纪委书记期间，不正确履行职责，违反工作纪律，对玉溪一中违反中央八项规定精神，违规发放津补贴、安排</w:t>
      </w:r>
      <w:r w:rsidRPr="00D3623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lastRenderedPageBreak/>
        <w:t>宾客参观灯展、购买赠送礼品和违反国家法律法规，设立“小金库”等违纪违法问题负有监督责任。2019年4月，杨长兴受到党内警告处分。</w:t>
      </w:r>
    </w:p>
    <w:sectPr w:rsidR="00266289" w:rsidRPr="00D3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34"/>
    <w:rsid w:val="00266289"/>
    <w:rsid w:val="00D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36234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D36234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D36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36234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D36234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D36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2023-04-25T03:10:00Z</dcterms:created>
  <dcterms:modified xsi:type="dcterms:W3CDTF">2023-04-25T03:13:00Z</dcterms:modified>
</cp:coreProperties>
</file>